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56F9C" w14:textId="5DDC7953" w:rsidR="004F56E4" w:rsidRPr="00FE0A9F" w:rsidRDefault="004F56E4" w:rsidP="004F56E4">
      <w:pPr>
        <w:pStyle w:val="Default"/>
        <w:spacing w:line="360" w:lineRule="auto"/>
        <w:ind w:left="452"/>
        <w:jc w:val="center"/>
        <w:rPr>
          <w:rFonts w:ascii="黑体" w:eastAsia="黑体" w:hAnsi="黑体" w:cs="Times New Roman"/>
          <w:sz w:val="32"/>
          <w:szCs w:val="32"/>
        </w:rPr>
      </w:pPr>
      <w:r w:rsidRPr="00FE0A9F">
        <w:rPr>
          <w:rFonts w:ascii="黑体" w:eastAsia="黑体" w:hAnsi="黑体" w:cs="Times New Roman"/>
          <w:sz w:val="32"/>
          <w:szCs w:val="32"/>
        </w:rPr>
        <w:t>2021年</w:t>
      </w:r>
      <w:r w:rsidR="009B324F" w:rsidRPr="00FE0A9F">
        <w:rPr>
          <w:rFonts w:ascii="黑体" w:eastAsia="黑体" w:hAnsi="黑体" w:cs="Times New Roman" w:hint="eastAsia"/>
          <w:sz w:val="32"/>
          <w:szCs w:val="32"/>
        </w:rPr>
        <w:t>环境与地理科学学院</w:t>
      </w:r>
      <w:r w:rsidRPr="00FE0A9F">
        <w:rPr>
          <w:rFonts w:ascii="黑体" w:eastAsia="黑体" w:hAnsi="黑体" w:cs="Times New Roman"/>
          <w:sz w:val="32"/>
          <w:szCs w:val="32"/>
        </w:rPr>
        <w:t>推荐优秀应届本科毕业生免试攻读硕士学位研究生综合成绩评分细则</w:t>
      </w:r>
    </w:p>
    <w:p w14:paraId="6BA7AD5A" w14:textId="6E2744C2" w:rsidR="00192BDF" w:rsidRDefault="004F56E4" w:rsidP="004F56E4">
      <w:pPr>
        <w:pStyle w:val="2"/>
        <w:spacing w:line="360" w:lineRule="auto"/>
        <w:ind w:firstLineChars="200" w:firstLine="420"/>
        <w:rPr>
          <w:rFonts w:eastAsiaTheme="minorEastAsia"/>
          <w:color w:val="000000"/>
        </w:rPr>
      </w:pPr>
      <w:r w:rsidRPr="00472272">
        <w:rPr>
          <w:rFonts w:eastAsiaTheme="minorEastAsia"/>
          <w:color w:val="000000"/>
        </w:rPr>
        <w:t>根据上海师范大学《关于做好</w:t>
      </w:r>
      <w:r w:rsidRPr="00472272">
        <w:rPr>
          <w:rFonts w:eastAsiaTheme="minorEastAsia"/>
          <w:color w:val="000000"/>
        </w:rPr>
        <w:t>2021</w:t>
      </w:r>
      <w:r w:rsidRPr="00472272">
        <w:rPr>
          <w:rFonts w:eastAsiaTheme="minorEastAsia"/>
          <w:color w:val="000000"/>
        </w:rPr>
        <w:t>年优秀应届本科毕业生免试攻读研究生推荐工作的通知》文件精神，经研究决定</w:t>
      </w:r>
      <w:r w:rsidR="00192BDF">
        <w:rPr>
          <w:rFonts w:eastAsiaTheme="minorEastAsia" w:hint="eastAsia"/>
          <w:color w:val="000000"/>
        </w:rPr>
        <w:t>：</w:t>
      </w:r>
    </w:p>
    <w:p w14:paraId="1AB2554D" w14:textId="70B39210" w:rsidR="004F56E4" w:rsidRPr="004B56EC" w:rsidRDefault="00192BDF" w:rsidP="00070416">
      <w:pPr>
        <w:spacing w:line="360" w:lineRule="auto"/>
        <w:ind w:firstLine="420"/>
        <w:rPr>
          <w:color w:val="000000"/>
        </w:rPr>
      </w:pPr>
      <w:r w:rsidRPr="004B56EC">
        <w:rPr>
          <w:rFonts w:hint="eastAsia"/>
          <w:color w:val="000000"/>
        </w:rPr>
        <w:t>一、</w:t>
      </w:r>
      <w:r w:rsidR="004F56E4" w:rsidRPr="009C7A52">
        <w:rPr>
          <w:b/>
          <w:bCs/>
          <w:color w:val="000000"/>
        </w:rPr>
        <w:t>学业综合成绩</w:t>
      </w:r>
      <w:r w:rsidR="004B56EC" w:rsidRPr="009C7A52">
        <w:rPr>
          <w:rFonts w:hint="eastAsia"/>
          <w:b/>
          <w:bCs/>
          <w:color w:val="000000"/>
        </w:rPr>
        <w:t>满分为</w:t>
      </w:r>
      <w:r w:rsidR="004B56EC" w:rsidRPr="009C7A52">
        <w:rPr>
          <w:rFonts w:hint="eastAsia"/>
          <w:b/>
          <w:bCs/>
          <w:color w:val="000000"/>
        </w:rPr>
        <w:t>100</w:t>
      </w:r>
      <w:r w:rsidR="004B56EC" w:rsidRPr="009C7A52">
        <w:rPr>
          <w:rFonts w:hint="eastAsia"/>
          <w:b/>
          <w:bCs/>
          <w:color w:val="000000"/>
        </w:rPr>
        <w:t>分</w:t>
      </w:r>
      <w:r w:rsidR="004B56EC" w:rsidRPr="004B56EC">
        <w:rPr>
          <w:rFonts w:hint="eastAsia"/>
          <w:color w:val="000000"/>
        </w:rPr>
        <w:t>，</w:t>
      </w:r>
      <w:r w:rsidR="004F56E4" w:rsidRPr="004B56EC">
        <w:rPr>
          <w:color w:val="000000"/>
        </w:rPr>
        <w:t>由学位（绩点）课程成绩、</w:t>
      </w:r>
      <w:r w:rsidR="00070416" w:rsidRPr="00070416">
        <w:rPr>
          <w:rFonts w:hint="eastAsia"/>
          <w:color w:val="000000"/>
        </w:rPr>
        <w:t>学位课以外的专业基础课程和专业主干课程成绩</w:t>
      </w:r>
      <w:r w:rsidR="004F56E4" w:rsidRPr="004B56EC">
        <w:rPr>
          <w:color w:val="000000"/>
        </w:rPr>
        <w:t>、思想品德</w:t>
      </w:r>
      <w:r w:rsidR="008F5878" w:rsidRPr="004B56EC">
        <w:rPr>
          <w:color w:val="000000"/>
        </w:rPr>
        <w:t>得分</w:t>
      </w:r>
      <w:r w:rsidR="004F56E4" w:rsidRPr="004B56EC">
        <w:rPr>
          <w:color w:val="000000"/>
        </w:rPr>
        <w:t>和英语</w:t>
      </w:r>
      <w:r w:rsidR="008F5878" w:rsidRPr="004B56EC">
        <w:rPr>
          <w:color w:val="000000"/>
        </w:rPr>
        <w:t>能力得分</w:t>
      </w:r>
      <w:r w:rsidR="004F56E4" w:rsidRPr="004B56EC">
        <w:rPr>
          <w:color w:val="000000"/>
        </w:rPr>
        <w:t>四部分组成。</w:t>
      </w:r>
    </w:p>
    <w:p w14:paraId="467F2B56" w14:textId="77777777" w:rsidR="00DF25A1" w:rsidRPr="00472272" w:rsidRDefault="004F56E4" w:rsidP="00EB6F42">
      <w:pPr>
        <w:pStyle w:val="2"/>
        <w:spacing w:line="360" w:lineRule="auto"/>
        <w:ind w:firstLineChars="200" w:firstLine="420"/>
        <w:rPr>
          <w:rFonts w:eastAsiaTheme="minorEastAsia"/>
          <w:color w:val="000000"/>
        </w:rPr>
      </w:pPr>
      <w:r w:rsidRPr="00472272">
        <w:rPr>
          <w:rFonts w:eastAsiaTheme="minorEastAsia"/>
          <w:color w:val="000000"/>
        </w:rPr>
        <w:t>1</w:t>
      </w:r>
      <w:r w:rsidRPr="00472272">
        <w:rPr>
          <w:rFonts w:eastAsiaTheme="minorEastAsia"/>
          <w:color w:val="000000"/>
        </w:rPr>
        <w:t>、学位（绩点）课程成绩计算</w:t>
      </w:r>
    </w:p>
    <w:p w14:paraId="17AE5D35" w14:textId="56754C55" w:rsidR="004F56E4" w:rsidRPr="00472272" w:rsidRDefault="004F56E4" w:rsidP="00EB6F42">
      <w:pPr>
        <w:pStyle w:val="2"/>
        <w:spacing w:line="360" w:lineRule="auto"/>
        <w:ind w:firstLineChars="200" w:firstLine="420"/>
        <w:rPr>
          <w:color w:val="000000"/>
        </w:rPr>
      </w:pPr>
      <w:r w:rsidRPr="00472272">
        <w:rPr>
          <w:rFonts w:eastAsiaTheme="minorEastAsia"/>
          <w:color w:val="000000"/>
        </w:rPr>
        <w:t>按照培养方案中列出的学位课程</w:t>
      </w:r>
      <w:r w:rsidR="00741A95" w:rsidRPr="00472272">
        <w:rPr>
          <w:rFonts w:eastAsiaTheme="minorEastAsia"/>
          <w:color w:val="000000"/>
        </w:rPr>
        <w:t>，按学分对课程成绩进行加权平均。即</w:t>
      </w:r>
      <w:r w:rsidRPr="00472272">
        <w:rPr>
          <w:rFonts w:eastAsiaTheme="minorEastAsia"/>
          <w:color w:val="000000"/>
        </w:rPr>
        <w:t>每门课的成绩</w:t>
      </w:r>
      <w:r w:rsidRPr="00472272">
        <w:rPr>
          <w:color w:val="000000"/>
        </w:rPr>
        <w:t>乘以学分，求和之后再除以</w:t>
      </w:r>
      <w:r w:rsidR="00475BCB">
        <w:rPr>
          <w:rFonts w:hint="eastAsia"/>
          <w:color w:val="000000"/>
        </w:rPr>
        <w:t>统计课程的</w:t>
      </w:r>
      <w:r w:rsidRPr="00472272">
        <w:rPr>
          <w:color w:val="000000"/>
        </w:rPr>
        <w:t>总学分，得出学位课程平均分。该项占学业综合成绩的</w:t>
      </w:r>
      <w:r w:rsidRPr="00472272">
        <w:rPr>
          <w:color w:val="000000"/>
        </w:rPr>
        <w:t>70%</w:t>
      </w:r>
      <w:r w:rsidRPr="00472272">
        <w:rPr>
          <w:color w:val="000000"/>
        </w:rPr>
        <w:t>。</w:t>
      </w:r>
    </w:p>
    <w:p w14:paraId="173A815D" w14:textId="0068572D" w:rsidR="004F56E4" w:rsidRPr="00472272" w:rsidRDefault="004F56E4" w:rsidP="004F56E4">
      <w:pPr>
        <w:spacing w:line="360" w:lineRule="auto"/>
        <w:ind w:firstLine="420"/>
        <w:rPr>
          <w:rFonts w:ascii="Times New Roman" w:hAnsi="Times New Roman" w:cs="Times New Roman"/>
          <w:color w:val="000000"/>
          <w:szCs w:val="20"/>
        </w:rPr>
      </w:pPr>
      <w:r w:rsidRPr="00472272">
        <w:rPr>
          <w:rFonts w:ascii="Times New Roman" w:hAnsi="Times New Roman" w:cs="Times New Roman"/>
          <w:color w:val="000000"/>
          <w:szCs w:val="20"/>
        </w:rPr>
        <w:t>2</w:t>
      </w:r>
      <w:r w:rsidRPr="00472272">
        <w:rPr>
          <w:rFonts w:ascii="Times New Roman" w:hAnsi="Times New Roman" w:cs="Times New Roman"/>
          <w:color w:val="000000"/>
          <w:szCs w:val="20"/>
        </w:rPr>
        <w:t>、</w:t>
      </w:r>
      <w:r w:rsidR="00236AEA" w:rsidRPr="00236AEA">
        <w:rPr>
          <w:rFonts w:ascii="Times New Roman" w:hAnsi="Times New Roman" w:cs="Times New Roman" w:hint="eastAsia"/>
          <w:color w:val="000000"/>
          <w:szCs w:val="20"/>
        </w:rPr>
        <w:t>学位课以外的专业基础课程和专业主干课程成绩</w:t>
      </w:r>
      <w:r w:rsidR="00236AEA">
        <w:rPr>
          <w:rFonts w:ascii="Times New Roman" w:hAnsi="Times New Roman" w:cs="Times New Roman" w:hint="eastAsia"/>
          <w:color w:val="000000"/>
          <w:szCs w:val="20"/>
        </w:rPr>
        <w:t>计算</w:t>
      </w:r>
    </w:p>
    <w:p w14:paraId="3A818EB9" w14:textId="6CFE3377" w:rsidR="008E0F1F" w:rsidRDefault="008E0F1F" w:rsidP="008E0F1F">
      <w:pPr>
        <w:spacing w:line="360" w:lineRule="auto"/>
        <w:ind w:firstLine="420"/>
        <w:rPr>
          <w:rFonts w:ascii="Times New Roman" w:hAnsi="Times New Roman" w:cs="Times New Roman"/>
          <w:color w:val="000000"/>
          <w:szCs w:val="20"/>
        </w:rPr>
      </w:pPr>
      <w:r w:rsidRPr="00472272">
        <w:rPr>
          <w:rFonts w:ascii="Times New Roman" w:hAnsi="Times New Roman" w:cs="Times New Roman"/>
          <w:color w:val="000000"/>
          <w:szCs w:val="20"/>
        </w:rPr>
        <w:t>计算范围为学位课以外的专业</w:t>
      </w:r>
      <w:r w:rsidR="005F2255" w:rsidRPr="00472272">
        <w:rPr>
          <w:rFonts w:ascii="Times New Roman" w:hAnsi="Times New Roman" w:cs="Times New Roman"/>
          <w:color w:val="000000"/>
          <w:szCs w:val="20"/>
        </w:rPr>
        <w:t>基础</w:t>
      </w:r>
      <w:r w:rsidRPr="00472272">
        <w:rPr>
          <w:rFonts w:ascii="Times New Roman" w:hAnsi="Times New Roman" w:cs="Times New Roman"/>
          <w:color w:val="000000"/>
          <w:szCs w:val="20"/>
        </w:rPr>
        <w:t>课</w:t>
      </w:r>
      <w:r w:rsidR="005F2255" w:rsidRPr="00472272">
        <w:rPr>
          <w:rFonts w:ascii="Times New Roman" w:hAnsi="Times New Roman" w:cs="Times New Roman"/>
          <w:color w:val="000000"/>
          <w:szCs w:val="20"/>
        </w:rPr>
        <w:t>程和专业主干课程</w:t>
      </w:r>
      <w:r w:rsidRPr="00472272">
        <w:rPr>
          <w:rFonts w:ascii="Times New Roman" w:hAnsi="Times New Roman" w:cs="Times New Roman"/>
          <w:color w:val="000000"/>
          <w:szCs w:val="20"/>
        </w:rPr>
        <w:t>，</w:t>
      </w:r>
      <w:r w:rsidR="00741A95" w:rsidRPr="00472272">
        <w:rPr>
          <w:rFonts w:ascii="Times New Roman" w:hAnsi="Times New Roman" w:cs="Times New Roman"/>
          <w:color w:val="000000"/>
          <w:szCs w:val="20"/>
        </w:rPr>
        <w:t>按学分对课程成绩进行加权平均。即</w:t>
      </w:r>
      <w:r w:rsidRPr="00472272">
        <w:rPr>
          <w:rFonts w:ascii="Times New Roman" w:hAnsi="Times New Roman" w:cs="Times New Roman"/>
          <w:color w:val="000000"/>
          <w:szCs w:val="20"/>
        </w:rPr>
        <w:t>每门课的成绩乘以学分，求和之后再除以</w:t>
      </w:r>
      <w:r w:rsidR="00475BCB">
        <w:rPr>
          <w:rFonts w:hint="eastAsia"/>
          <w:color w:val="000000"/>
        </w:rPr>
        <w:t>统计课程的</w:t>
      </w:r>
      <w:r w:rsidRPr="00472272">
        <w:rPr>
          <w:rFonts w:ascii="Times New Roman" w:hAnsi="Times New Roman" w:cs="Times New Roman"/>
          <w:color w:val="000000"/>
          <w:szCs w:val="20"/>
        </w:rPr>
        <w:t>总学分，得出</w:t>
      </w:r>
      <w:r w:rsidR="00862215" w:rsidRPr="00472272">
        <w:rPr>
          <w:rFonts w:ascii="Times New Roman" w:hAnsi="Times New Roman" w:cs="Times New Roman"/>
          <w:color w:val="000000"/>
          <w:szCs w:val="20"/>
        </w:rPr>
        <w:t>专业必修</w:t>
      </w:r>
      <w:r w:rsidRPr="00472272">
        <w:rPr>
          <w:rFonts w:ascii="Times New Roman" w:hAnsi="Times New Roman" w:cs="Times New Roman"/>
          <w:color w:val="000000"/>
          <w:szCs w:val="20"/>
        </w:rPr>
        <w:t>课程平均分。该项占学业综合成绩的</w:t>
      </w:r>
      <w:r w:rsidR="00472272" w:rsidRPr="00472272">
        <w:rPr>
          <w:rFonts w:ascii="Times New Roman" w:hAnsi="Times New Roman" w:cs="Times New Roman"/>
          <w:color w:val="000000"/>
          <w:szCs w:val="20"/>
        </w:rPr>
        <w:t>15</w:t>
      </w:r>
      <w:r w:rsidRPr="00472272">
        <w:rPr>
          <w:rFonts w:ascii="Times New Roman" w:hAnsi="Times New Roman" w:cs="Times New Roman"/>
          <w:color w:val="000000"/>
          <w:szCs w:val="20"/>
        </w:rPr>
        <w:t>%</w:t>
      </w:r>
      <w:r w:rsidRPr="00472272">
        <w:rPr>
          <w:rFonts w:ascii="Times New Roman" w:hAnsi="Times New Roman" w:cs="Times New Roman"/>
          <w:color w:val="000000"/>
          <w:szCs w:val="20"/>
        </w:rPr>
        <w:t>。</w:t>
      </w:r>
    </w:p>
    <w:p w14:paraId="6F094D38" w14:textId="4831057B" w:rsidR="00670D6B" w:rsidRDefault="00670D6B" w:rsidP="008E0F1F">
      <w:pPr>
        <w:spacing w:line="360" w:lineRule="auto"/>
        <w:ind w:firstLine="420"/>
        <w:rPr>
          <w:rFonts w:ascii="Times New Roman" w:hAnsi="Times New Roman" w:cs="Times New Roman" w:hint="eastAsia"/>
          <w:color w:val="000000"/>
          <w:szCs w:val="20"/>
        </w:rPr>
      </w:pPr>
      <w:bookmarkStart w:id="0" w:name="_Hlk52037585"/>
      <w:r>
        <w:rPr>
          <w:rFonts w:hint="eastAsia"/>
          <w:color w:val="000000"/>
        </w:rPr>
        <w:t>注：</w:t>
      </w:r>
      <w:r>
        <w:rPr>
          <w:rFonts w:ascii="Times New Roman" w:hAnsi="Times New Roman" w:cs="Times New Roman" w:hint="eastAsia"/>
          <w:color w:val="000000"/>
          <w:szCs w:val="20"/>
        </w:rPr>
        <w:t>若</w:t>
      </w:r>
      <w:r w:rsidRPr="00DB3067">
        <w:rPr>
          <w:rFonts w:ascii="Times New Roman" w:hAnsi="Times New Roman" w:cs="Times New Roman" w:hint="eastAsia"/>
          <w:color w:val="000000"/>
          <w:szCs w:val="20"/>
        </w:rPr>
        <w:t>专业基础课程和专业主干课程均为学位（绩点）课程，则</w:t>
      </w:r>
      <w:r w:rsidR="002D556C">
        <w:rPr>
          <w:rFonts w:ascii="Times New Roman" w:hAnsi="Times New Roman" w:cs="Times New Roman" w:hint="eastAsia"/>
          <w:color w:val="000000"/>
          <w:szCs w:val="20"/>
        </w:rPr>
        <w:t>上一项</w:t>
      </w:r>
      <w:r w:rsidRPr="004B56EC">
        <w:rPr>
          <w:color w:val="000000"/>
        </w:rPr>
        <w:t>学位（绩点）课程成绩</w:t>
      </w:r>
      <w:r w:rsidRPr="00DB3067">
        <w:rPr>
          <w:rFonts w:ascii="Times New Roman" w:hAnsi="Times New Roman" w:cs="Times New Roman" w:hint="eastAsia"/>
          <w:color w:val="000000"/>
          <w:szCs w:val="20"/>
        </w:rPr>
        <w:t>占</w:t>
      </w:r>
      <w:r w:rsidRPr="00DB3067">
        <w:rPr>
          <w:rFonts w:ascii="Times New Roman" w:hAnsi="Times New Roman" w:cs="Times New Roman" w:hint="eastAsia"/>
          <w:color w:val="000000"/>
          <w:szCs w:val="20"/>
        </w:rPr>
        <w:t>85%</w:t>
      </w:r>
      <w:bookmarkEnd w:id="0"/>
      <w:r>
        <w:rPr>
          <w:rFonts w:ascii="Times New Roman" w:hAnsi="Times New Roman" w:cs="Times New Roman" w:hint="eastAsia"/>
          <w:color w:val="000000"/>
          <w:szCs w:val="20"/>
        </w:rPr>
        <w:t>，该项调整为</w:t>
      </w:r>
      <w:r>
        <w:rPr>
          <w:rFonts w:ascii="Times New Roman" w:hAnsi="Times New Roman" w:cs="Times New Roman" w:hint="eastAsia"/>
          <w:color w:val="000000"/>
          <w:szCs w:val="20"/>
        </w:rPr>
        <w:t>0%</w:t>
      </w:r>
      <w:r>
        <w:rPr>
          <w:rFonts w:ascii="Times New Roman" w:hAnsi="Times New Roman" w:cs="Times New Roman" w:hint="eastAsia"/>
          <w:color w:val="000000"/>
          <w:szCs w:val="20"/>
        </w:rPr>
        <w:t>。</w:t>
      </w:r>
    </w:p>
    <w:p w14:paraId="174D230E" w14:textId="77777777" w:rsidR="008E0F1F" w:rsidRPr="00472272" w:rsidRDefault="008E0F1F" w:rsidP="008E0F1F">
      <w:pPr>
        <w:spacing w:line="360" w:lineRule="auto"/>
        <w:ind w:firstLine="420"/>
        <w:rPr>
          <w:rFonts w:ascii="Times New Roman" w:hAnsi="Times New Roman" w:cs="Times New Roman"/>
          <w:color w:val="000000"/>
          <w:szCs w:val="20"/>
        </w:rPr>
      </w:pPr>
      <w:r w:rsidRPr="00472272">
        <w:rPr>
          <w:rFonts w:ascii="Times New Roman" w:hAnsi="Times New Roman" w:cs="Times New Roman"/>
          <w:color w:val="000000"/>
          <w:szCs w:val="20"/>
        </w:rPr>
        <w:t>3</w:t>
      </w:r>
      <w:r w:rsidRPr="00472272">
        <w:rPr>
          <w:rFonts w:ascii="Times New Roman" w:hAnsi="Times New Roman" w:cs="Times New Roman"/>
          <w:color w:val="000000"/>
          <w:szCs w:val="20"/>
        </w:rPr>
        <w:t>、思想品德</w:t>
      </w:r>
      <w:r w:rsidR="008F5878" w:rsidRPr="00472272">
        <w:rPr>
          <w:rFonts w:ascii="Times New Roman" w:hAnsi="Times New Roman" w:cs="Times New Roman"/>
          <w:color w:val="000000"/>
          <w:szCs w:val="20"/>
        </w:rPr>
        <w:t>得分</w:t>
      </w:r>
    </w:p>
    <w:p w14:paraId="05468D62" w14:textId="77777777" w:rsidR="008E0F1F" w:rsidRPr="00472272" w:rsidRDefault="00E61294" w:rsidP="00C95BC0">
      <w:pPr>
        <w:spacing w:line="360" w:lineRule="auto"/>
        <w:ind w:firstLine="420"/>
        <w:rPr>
          <w:rFonts w:ascii="Times New Roman" w:hAnsi="Times New Roman" w:cs="Times New Roman"/>
          <w:color w:val="000000"/>
          <w:szCs w:val="20"/>
        </w:rPr>
      </w:pPr>
      <w:r w:rsidRPr="00472272">
        <w:rPr>
          <w:rFonts w:ascii="Times New Roman" w:hAnsi="Times New Roman" w:cs="Times New Roman"/>
          <w:color w:val="000000"/>
          <w:szCs w:val="20"/>
        </w:rPr>
        <w:t>按照《环境与地理科学学院本科学生专业奖学金评审条例及综合素质测评实施细则》中的德育评分</w:t>
      </w:r>
      <w:r w:rsidR="00707F08" w:rsidRPr="00472272">
        <w:rPr>
          <w:rFonts w:ascii="Times New Roman" w:hAnsi="Times New Roman" w:cs="Times New Roman"/>
          <w:color w:val="000000"/>
          <w:szCs w:val="20"/>
        </w:rPr>
        <w:t>标准</w:t>
      </w:r>
      <w:r w:rsidRPr="00472272">
        <w:rPr>
          <w:rFonts w:ascii="Times New Roman" w:hAnsi="Times New Roman" w:cs="Times New Roman"/>
          <w:color w:val="000000"/>
          <w:szCs w:val="20"/>
        </w:rPr>
        <w:t>，</w:t>
      </w:r>
      <w:r w:rsidR="00707F08" w:rsidRPr="00472272">
        <w:rPr>
          <w:rFonts w:ascii="Times New Roman" w:hAnsi="Times New Roman" w:cs="Times New Roman"/>
          <w:color w:val="000000"/>
          <w:szCs w:val="20"/>
        </w:rPr>
        <w:t>该项满分为</w:t>
      </w:r>
      <w:r w:rsidR="00707F08" w:rsidRPr="00472272">
        <w:rPr>
          <w:rFonts w:ascii="Times New Roman" w:hAnsi="Times New Roman" w:cs="Times New Roman"/>
          <w:color w:val="000000"/>
          <w:szCs w:val="20"/>
        </w:rPr>
        <w:t>100</w:t>
      </w:r>
      <w:r w:rsidR="00707F08" w:rsidRPr="00472272">
        <w:rPr>
          <w:rFonts w:ascii="Times New Roman" w:hAnsi="Times New Roman" w:cs="Times New Roman"/>
          <w:color w:val="000000"/>
          <w:szCs w:val="20"/>
        </w:rPr>
        <w:t>分，占学业综合成绩的</w:t>
      </w:r>
      <w:r w:rsidR="00707F08" w:rsidRPr="00472272">
        <w:rPr>
          <w:rFonts w:ascii="Times New Roman" w:hAnsi="Times New Roman" w:cs="Times New Roman"/>
          <w:color w:val="000000"/>
          <w:szCs w:val="20"/>
        </w:rPr>
        <w:t>10%</w:t>
      </w:r>
      <w:r w:rsidR="00707F08" w:rsidRPr="00472272">
        <w:rPr>
          <w:rFonts w:ascii="Times New Roman" w:hAnsi="Times New Roman" w:cs="Times New Roman"/>
          <w:color w:val="000000"/>
          <w:szCs w:val="20"/>
        </w:rPr>
        <w:t>。</w:t>
      </w:r>
    </w:p>
    <w:p w14:paraId="7EAA8C0A" w14:textId="77777777" w:rsidR="005A6A33" w:rsidRPr="00472272" w:rsidRDefault="005A6A33" w:rsidP="008E0F1F">
      <w:pPr>
        <w:spacing w:line="360" w:lineRule="auto"/>
        <w:ind w:firstLine="420"/>
        <w:rPr>
          <w:rFonts w:ascii="Times New Roman" w:hAnsi="Times New Roman" w:cs="Times New Roman"/>
          <w:color w:val="000000"/>
          <w:szCs w:val="20"/>
        </w:rPr>
      </w:pPr>
      <w:r w:rsidRPr="00472272">
        <w:rPr>
          <w:rFonts w:ascii="Times New Roman" w:hAnsi="Times New Roman" w:cs="Times New Roman"/>
          <w:color w:val="000000"/>
          <w:szCs w:val="21"/>
        </w:rPr>
        <w:t>4</w:t>
      </w:r>
      <w:r w:rsidRPr="00472272">
        <w:rPr>
          <w:rFonts w:ascii="Times New Roman" w:hAnsi="Times New Roman" w:cs="Times New Roman"/>
          <w:color w:val="000000"/>
          <w:szCs w:val="21"/>
        </w:rPr>
        <w:t>、</w:t>
      </w:r>
      <w:r w:rsidRPr="00472272">
        <w:rPr>
          <w:rFonts w:ascii="Times New Roman" w:hAnsi="Times New Roman" w:cs="Times New Roman"/>
          <w:color w:val="000000"/>
          <w:szCs w:val="20"/>
        </w:rPr>
        <w:t>英语</w:t>
      </w:r>
      <w:r w:rsidR="008F5878" w:rsidRPr="00472272">
        <w:rPr>
          <w:rFonts w:ascii="Times New Roman" w:hAnsi="Times New Roman" w:cs="Times New Roman"/>
          <w:color w:val="000000"/>
          <w:szCs w:val="20"/>
        </w:rPr>
        <w:t>能力</w:t>
      </w:r>
      <w:r w:rsidRPr="00472272">
        <w:rPr>
          <w:rFonts w:ascii="Times New Roman" w:hAnsi="Times New Roman" w:cs="Times New Roman"/>
          <w:color w:val="000000"/>
          <w:szCs w:val="20"/>
        </w:rPr>
        <w:t>得分</w:t>
      </w:r>
    </w:p>
    <w:p w14:paraId="6FCB589C" w14:textId="5664C2CD" w:rsidR="008F5878" w:rsidRPr="00472272" w:rsidRDefault="008F5878" w:rsidP="008E0F1F">
      <w:pPr>
        <w:spacing w:line="360" w:lineRule="auto"/>
        <w:ind w:firstLine="420"/>
        <w:rPr>
          <w:rFonts w:ascii="Times New Roman" w:hAnsi="Times New Roman" w:cs="Times New Roman"/>
          <w:color w:val="000000"/>
          <w:szCs w:val="20"/>
        </w:rPr>
      </w:pPr>
      <w:r w:rsidRPr="00472272">
        <w:rPr>
          <w:rFonts w:ascii="Times New Roman" w:hAnsi="Times New Roman" w:cs="Times New Roman"/>
        </w:rPr>
        <w:t>该项以全国大学英语四、六级考试成绩为考核依据</w:t>
      </w:r>
      <w:r w:rsidR="00871976">
        <w:rPr>
          <w:rFonts w:ascii="Times New Roman" w:hAnsi="Times New Roman" w:cs="Times New Roman" w:hint="eastAsia"/>
        </w:rPr>
        <w:t>。</w:t>
      </w:r>
      <w:r w:rsidR="00853D1B" w:rsidRPr="00472272">
        <w:rPr>
          <w:rFonts w:ascii="Times New Roman" w:hAnsi="Times New Roman" w:cs="Times New Roman"/>
          <w:color w:val="000000"/>
          <w:szCs w:val="20"/>
        </w:rPr>
        <w:t>满分为</w:t>
      </w:r>
      <w:r w:rsidR="00853D1B" w:rsidRPr="00472272">
        <w:rPr>
          <w:rFonts w:ascii="Times New Roman" w:hAnsi="Times New Roman" w:cs="Times New Roman"/>
          <w:color w:val="000000"/>
          <w:szCs w:val="20"/>
        </w:rPr>
        <w:t>100</w:t>
      </w:r>
      <w:r w:rsidR="00853D1B" w:rsidRPr="00472272">
        <w:rPr>
          <w:rFonts w:ascii="Times New Roman" w:hAnsi="Times New Roman" w:cs="Times New Roman"/>
          <w:color w:val="000000"/>
          <w:szCs w:val="20"/>
        </w:rPr>
        <w:t>分</w:t>
      </w:r>
      <w:r w:rsidR="00871976">
        <w:rPr>
          <w:rFonts w:ascii="Times New Roman" w:hAnsi="Times New Roman" w:cs="Times New Roman" w:hint="eastAsia"/>
          <w:color w:val="000000"/>
          <w:szCs w:val="20"/>
        </w:rPr>
        <w:t>，</w:t>
      </w:r>
      <w:r w:rsidR="004B56EC">
        <w:rPr>
          <w:rFonts w:ascii="Times New Roman" w:hAnsi="Times New Roman" w:cs="Times New Roman" w:hint="eastAsia"/>
          <w:color w:val="000000"/>
          <w:szCs w:val="20"/>
        </w:rPr>
        <w:t>具体如下：</w:t>
      </w:r>
      <w:r w:rsidR="004B56EC" w:rsidRPr="004B56EC">
        <w:rPr>
          <w:rFonts w:ascii="Times New Roman" w:hAnsi="Times New Roman" w:cs="Times New Roman" w:hint="eastAsia"/>
          <w:color w:val="000000"/>
          <w:szCs w:val="20"/>
        </w:rPr>
        <w:t>CET6</w:t>
      </w:r>
      <w:r w:rsidR="004B56EC" w:rsidRPr="004B56EC">
        <w:rPr>
          <w:rFonts w:ascii="Times New Roman" w:hAnsi="Times New Roman" w:cs="Times New Roman" w:hint="eastAsia"/>
          <w:color w:val="000000"/>
          <w:szCs w:val="20"/>
        </w:rPr>
        <w:t>级</w:t>
      </w:r>
      <w:r w:rsidR="004B56EC" w:rsidRPr="004B56EC">
        <w:rPr>
          <w:rFonts w:ascii="Times New Roman" w:hAnsi="Times New Roman" w:cs="Times New Roman" w:hint="eastAsia"/>
          <w:color w:val="000000"/>
          <w:szCs w:val="20"/>
        </w:rPr>
        <w:t xml:space="preserve"> 580</w:t>
      </w:r>
      <w:r w:rsidR="004B56EC" w:rsidRPr="004B56EC">
        <w:rPr>
          <w:rFonts w:ascii="Times New Roman" w:hAnsi="Times New Roman" w:cs="Times New Roman" w:hint="eastAsia"/>
          <w:color w:val="000000"/>
          <w:szCs w:val="20"/>
        </w:rPr>
        <w:t>分及以上</w:t>
      </w:r>
      <w:r w:rsidR="004B56EC">
        <w:rPr>
          <w:rFonts w:ascii="Times New Roman" w:hAnsi="Times New Roman" w:cs="Times New Roman" w:hint="eastAsia"/>
          <w:color w:val="000000"/>
          <w:szCs w:val="20"/>
        </w:rPr>
        <w:t>，计</w:t>
      </w:r>
      <w:r w:rsidR="004B56EC">
        <w:rPr>
          <w:rFonts w:ascii="Times New Roman" w:hAnsi="Times New Roman" w:cs="Times New Roman" w:hint="eastAsia"/>
          <w:color w:val="000000"/>
          <w:szCs w:val="20"/>
        </w:rPr>
        <w:t>1</w:t>
      </w:r>
      <w:r w:rsidR="004B56EC">
        <w:rPr>
          <w:rFonts w:ascii="Times New Roman" w:hAnsi="Times New Roman" w:cs="Times New Roman"/>
          <w:color w:val="000000"/>
          <w:szCs w:val="20"/>
        </w:rPr>
        <w:t>00</w:t>
      </w:r>
      <w:r w:rsidR="004B56EC">
        <w:rPr>
          <w:rFonts w:ascii="Times New Roman" w:hAnsi="Times New Roman" w:cs="Times New Roman" w:hint="eastAsia"/>
          <w:color w:val="000000"/>
          <w:szCs w:val="20"/>
        </w:rPr>
        <w:t>分；</w:t>
      </w:r>
      <w:r w:rsidR="004B56EC" w:rsidRPr="004B56EC">
        <w:rPr>
          <w:rFonts w:ascii="Times New Roman" w:hAnsi="Times New Roman" w:cs="Times New Roman" w:hint="eastAsia"/>
          <w:color w:val="000000"/>
          <w:szCs w:val="20"/>
        </w:rPr>
        <w:t>CET6</w:t>
      </w:r>
      <w:r w:rsidR="004B56EC" w:rsidRPr="004B56EC">
        <w:rPr>
          <w:rFonts w:ascii="Times New Roman" w:hAnsi="Times New Roman" w:cs="Times New Roman" w:hint="eastAsia"/>
          <w:color w:val="000000"/>
          <w:szCs w:val="20"/>
        </w:rPr>
        <w:t>级</w:t>
      </w:r>
      <w:r w:rsidR="004B56EC" w:rsidRPr="004B56EC">
        <w:rPr>
          <w:rFonts w:ascii="Times New Roman" w:hAnsi="Times New Roman" w:cs="Times New Roman" w:hint="eastAsia"/>
          <w:color w:val="000000"/>
          <w:szCs w:val="20"/>
        </w:rPr>
        <w:t xml:space="preserve"> 425</w:t>
      </w:r>
      <w:r w:rsidR="004B56EC" w:rsidRPr="004B56EC">
        <w:rPr>
          <w:rFonts w:ascii="Times New Roman" w:hAnsi="Times New Roman" w:cs="Times New Roman" w:hint="eastAsia"/>
          <w:color w:val="000000"/>
          <w:szCs w:val="20"/>
        </w:rPr>
        <w:t>分及以上</w:t>
      </w:r>
      <w:r w:rsidR="004B56EC">
        <w:rPr>
          <w:rFonts w:ascii="Times New Roman" w:hAnsi="Times New Roman" w:cs="Times New Roman" w:hint="eastAsia"/>
          <w:color w:val="000000"/>
          <w:szCs w:val="20"/>
        </w:rPr>
        <w:t>或</w:t>
      </w:r>
      <w:r w:rsidR="004B56EC" w:rsidRPr="004B56EC">
        <w:rPr>
          <w:rFonts w:ascii="Times New Roman" w:hAnsi="Times New Roman" w:cs="Times New Roman" w:hint="eastAsia"/>
          <w:color w:val="000000"/>
          <w:szCs w:val="20"/>
        </w:rPr>
        <w:t>CET4</w:t>
      </w:r>
      <w:r w:rsidR="004B56EC" w:rsidRPr="004B56EC">
        <w:rPr>
          <w:rFonts w:ascii="Times New Roman" w:hAnsi="Times New Roman" w:cs="Times New Roman" w:hint="eastAsia"/>
          <w:color w:val="000000"/>
          <w:szCs w:val="20"/>
        </w:rPr>
        <w:t>级</w:t>
      </w:r>
      <w:r w:rsidR="004B56EC" w:rsidRPr="004B56EC">
        <w:rPr>
          <w:rFonts w:ascii="Times New Roman" w:hAnsi="Times New Roman" w:cs="Times New Roman" w:hint="eastAsia"/>
          <w:color w:val="000000"/>
          <w:szCs w:val="20"/>
        </w:rPr>
        <w:t xml:space="preserve"> 580</w:t>
      </w:r>
      <w:r w:rsidR="004B56EC" w:rsidRPr="004B56EC">
        <w:rPr>
          <w:rFonts w:ascii="Times New Roman" w:hAnsi="Times New Roman" w:cs="Times New Roman" w:hint="eastAsia"/>
          <w:color w:val="000000"/>
          <w:szCs w:val="20"/>
        </w:rPr>
        <w:t>分及以上</w:t>
      </w:r>
      <w:r w:rsidR="004B56EC">
        <w:rPr>
          <w:rFonts w:ascii="Times New Roman" w:hAnsi="Times New Roman" w:cs="Times New Roman" w:hint="eastAsia"/>
          <w:color w:val="000000"/>
          <w:szCs w:val="20"/>
        </w:rPr>
        <w:t>，计</w:t>
      </w:r>
      <w:r w:rsidR="004B56EC">
        <w:rPr>
          <w:rFonts w:ascii="Times New Roman" w:hAnsi="Times New Roman" w:cs="Times New Roman" w:hint="eastAsia"/>
          <w:color w:val="000000"/>
          <w:szCs w:val="20"/>
        </w:rPr>
        <w:t>8</w:t>
      </w:r>
      <w:r w:rsidR="004B56EC">
        <w:rPr>
          <w:rFonts w:ascii="Times New Roman" w:hAnsi="Times New Roman" w:cs="Times New Roman"/>
          <w:color w:val="000000"/>
          <w:szCs w:val="20"/>
        </w:rPr>
        <w:t>0</w:t>
      </w:r>
      <w:r w:rsidR="004B56EC">
        <w:rPr>
          <w:rFonts w:ascii="Times New Roman" w:hAnsi="Times New Roman" w:cs="Times New Roman" w:hint="eastAsia"/>
          <w:color w:val="000000"/>
          <w:szCs w:val="20"/>
        </w:rPr>
        <w:t>分；</w:t>
      </w:r>
      <w:r w:rsidR="004B56EC" w:rsidRPr="004B56EC">
        <w:rPr>
          <w:rFonts w:ascii="Times New Roman" w:hAnsi="Times New Roman" w:cs="Times New Roman" w:hint="eastAsia"/>
          <w:color w:val="000000"/>
          <w:szCs w:val="20"/>
        </w:rPr>
        <w:t>CET4</w:t>
      </w:r>
      <w:r w:rsidR="004B56EC" w:rsidRPr="004B56EC">
        <w:rPr>
          <w:rFonts w:ascii="Times New Roman" w:hAnsi="Times New Roman" w:cs="Times New Roman" w:hint="eastAsia"/>
          <w:color w:val="000000"/>
          <w:szCs w:val="20"/>
        </w:rPr>
        <w:t>级</w:t>
      </w:r>
      <w:r w:rsidR="004B56EC" w:rsidRPr="004B56EC">
        <w:rPr>
          <w:rFonts w:ascii="Times New Roman" w:hAnsi="Times New Roman" w:cs="Times New Roman" w:hint="eastAsia"/>
          <w:color w:val="000000"/>
          <w:szCs w:val="20"/>
        </w:rPr>
        <w:t xml:space="preserve"> 425</w:t>
      </w:r>
      <w:r w:rsidR="004B56EC" w:rsidRPr="004B56EC">
        <w:rPr>
          <w:rFonts w:ascii="Times New Roman" w:hAnsi="Times New Roman" w:cs="Times New Roman" w:hint="eastAsia"/>
          <w:color w:val="000000"/>
          <w:szCs w:val="20"/>
        </w:rPr>
        <w:t>分及以上</w:t>
      </w:r>
      <w:r w:rsidR="004B56EC">
        <w:rPr>
          <w:rFonts w:ascii="Times New Roman" w:hAnsi="Times New Roman" w:cs="Times New Roman" w:hint="eastAsia"/>
          <w:color w:val="000000"/>
          <w:szCs w:val="20"/>
        </w:rPr>
        <w:t>，计</w:t>
      </w:r>
      <w:r w:rsidR="004B56EC">
        <w:rPr>
          <w:rFonts w:ascii="Times New Roman" w:hAnsi="Times New Roman" w:cs="Times New Roman" w:hint="eastAsia"/>
          <w:color w:val="000000"/>
          <w:szCs w:val="20"/>
        </w:rPr>
        <w:t>6</w:t>
      </w:r>
      <w:r w:rsidR="004B56EC">
        <w:rPr>
          <w:rFonts w:ascii="Times New Roman" w:hAnsi="Times New Roman" w:cs="Times New Roman"/>
          <w:color w:val="000000"/>
          <w:szCs w:val="20"/>
        </w:rPr>
        <w:t>0</w:t>
      </w:r>
      <w:r w:rsidR="004B56EC">
        <w:rPr>
          <w:rFonts w:ascii="Times New Roman" w:hAnsi="Times New Roman" w:cs="Times New Roman" w:hint="eastAsia"/>
          <w:color w:val="000000"/>
          <w:szCs w:val="20"/>
        </w:rPr>
        <w:t>分。</w:t>
      </w:r>
      <w:r w:rsidR="00871976" w:rsidRPr="00472272">
        <w:rPr>
          <w:rFonts w:ascii="Times New Roman" w:hAnsi="Times New Roman" w:cs="Times New Roman"/>
          <w:color w:val="000000"/>
          <w:szCs w:val="20"/>
        </w:rPr>
        <w:t>该项占学业综合成绩的</w:t>
      </w:r>
      <w:r w:rsidR="00871976" w:rsidRPr="00472272">
        <w:rPr>
          <w:rFonts w:ascii="Times New Roman" w:hAnsi="Times New Roman" w:cs="Times New Roman"/>
          <w:color w:val="000000"/>
          <w:szCs w:val="20"/>
        </w:rPr>
        <w:t>5%</w:t>
      </w:r>
      <w:r w:rsidR="00871976">
        <w:rPr>
          <w:rFonts w:ascii="Times New Roman" w:hAnsi="Times New Roman" w:cs="Times New Roman" w:hint="eastAsia"/>
          <w:color w:val="000000"/>
          <w:szCs w:val="20"/>
        </w:rPr>
        <w:t>。</w:t>
      </w:r>
    </w:p>
    <w:p w14:paraId="671357F9" w14:textId="77777777" w:rsidR="004B56EC" w:rsidRPr="004B56EC" w:rsidRDefault="004B56EC" w:rsidP="004B56EC">
      <w:pPr>
        <w:pStyle w:val="2"/>
        <w:spacing w:line="360" w:lineRule="auto"/>
        <w:ind w:firstLineChars="200" w:firstLine="420"/>
        <w:rPr>
          <w:rFonts w:eastAsiaTheme="minorEastAsia"/>
          <w:color w:val="000000"/>
        </w:rPr>
      </w:pPr>
      <w:r>
        <w:rPr>
          <w:rFonts w:eastAsiaTheme="minorEastAsia" w:hint="eastAsia"/>
          <w:color w:val="000000"/>
        </w:rPr>
        <w:t>二、</w:t>
      </w:r>
      <w:r w:rsidRPr="009C7A52">
        <w:rPr>
          <w:rFonts w:eastAsiaTheme="minorEastAsia" w:hint="eastAsia"/>
          <w:b/>
          <w:bCs/>
          <w:color w:val="000000"/>
        </w:rPr>
        <w:t>个人社会贡献</w:t>
      </w:r>
      <w:bookmarkStart w:id="1" w:name="_Hlk51960074"/>
      <w:r w:rsidRPr="009C7A52">
        <w:rPr>
          <w:rFonts w:eastAsiaTheme="minorEastAsia" w:hint="eastAsia"/>
          <w:b/>
          <w:bCs/>
          <w:color w:val="000000"/>
        </w:rPr>
        <w:t>满分为</w:t>
      </w:r>
      <w:r w:rsidRPr="009C7A52">
        <w:rPr>
          <w:rFonts w:eastAsiaTheme="minorEastAsia" w:hint="eastAsia"/>
          <w:b/>
          <w:bCs/>
          <w:color w:val="000000"/>
        </w:rPr>
        <w:t>100</w:t>
      </w:r>
      <w:r w:rsidRPr="009C7A52">
        <w:rPr>
          <w:rFonts w:eastAsiaTheme="minorEastAsia" w:hint="eastAsia"/>
          <w:b/>
          <w:bCs/>
          <w:color w:val="000000"/>
        </w:rPr>
        <w:t>分</w:t>
      </w:r>
      <w:bookmarkEnd w:id="1"/>
      <w:r w:rsidRPr="004B56EC">
        <w:rPr>
          <w:rFonts w:eastAsiaTheme="minorEastAsia" w:hint="eastAsia"/>
          <w:color w:val="000000"/>
        </w:rPr>
        <w:t>，由参军入伍服兵役（计</w:t>
      </w:r>
      <w:r w:rsidRPr="004B56EC">
        <w:rPr>
          <w:rFonts w:eastAsiaTheme="minorEastAsia" w:hint="eastAsia"/>
          <w:color w:val="000000"/>
        </w:rPr>
        <w:t>50</w:t>
      </w:r>
      <w:r w:rsidRPr="004B56EC">
        <w:rPr>
          <w:rFonts w:eastAsiaTheme="minorEastAsia" w:hint="eastAsia"/>
          <w:color w:val="000000"/>
        </w:rPr>
        <w:t>分）、参加志愿者服务（国际、国家级计</w:t>
      </w:r>
      <w:r w:rsidRPr="004B56EC">
        <w:rPr>
          <w:rFonts w:eastAsiaTheme="minorEastAsia" w:hint="eastAsia"/>
          <w:color w:val="000000"/>
        </w:rPr>
        <w:t>30</w:t>
      </w:r>
      <w:r w:rsidRPr="004B56EC">
        <w:rPr>
          <w:rFonts w:eastAsiaTheme="minorEastAsia" w:hint="eastAsia"/>
          <w:color w:val="000000"/>
        </w:rPr>
        <w:t>分，市级计</w:t>
      </w:r>
      <w:r w:rsidRPr="004B56EC">
        <w:rPr>
          <w:rFonts w:eastAsiaTheme="minorEastAsia" w:hint="eastAsia"/>
          <w:color w:val="000000"/>
        </w:rPr>
        <w:t>20</w:t>
      </w:r>
      <w:r w:rsidRPr="004B56EC">
        <w:rPr>
          <w:rFonts w:eastAsiaTheme="minorEastAsia" w:hint="eastAsia"/>
          <w:color w:val="000000"/>
        </w:rPr>
        <w:t>分，校级计</w:t>
      </w:r>
      <w:r w:rsidRPr="004B56EC">
        <w:rPr>
          <w:rFonts w:eastAsiaTheme="minorEastAsia" w:hint="eastAsia"/>
          <w:color w:val="000000"/>
        </w:rPr>
        <w:t>10</w:t>
      </w:r>
      <w:r w:rsidRPr="004B56EC">
        <w:rPr>
          <w:rFonts w:eastAsiaTheme="minorEastAsia" w:hint="eastAsia"/>
          <w:color w:val="000000"/>
        </w:rPr>
        <w:t>分）、到国际组织实习（计</w:t>
      </w:r>
      <w:r w:rsidRPr="004B56EC">
        <w:rPr>
          <w:rFonts w:eastAsiaTheme="minorEastAsia" w:hint="eastAsia"/>
          <w:color w:val="000000"/>
        </w:rPr>
        <w:t>20</w:t>
      </w:r>
      <w:r w:rsidRPr="004B56EC">
        <w:rPr>
          <w:rFonts w:eastAsiaTheme="minorEastAsia" w:hint="eastAsia"/>
          <w:color w:val="000000"/>
        </w:rPr>
        <w:t>分）三部分组成。同一类别有多项的，原则上只计一项。</w:t>
      </w:r>
    </w:p>
    <w:p w14:paraId="6C22DCAC" w14:textId="77777777" w:rsidR="00192BDF" w:rsidRPr="004B56EC" w:rsidRDefault="004B56EC" w:rsidP="00192BDF">
      <w:pPr>
        <w:pStyle w:val="2"/>
        <w:spacing w:line="360" w:lineRule="auto"/>
        <w:ind w:firstLineChars="200" w:firstLine="420"/>
        <w:rPr>
          <w:rFonts w:eastAsiaTheme="minorEastAsia"/>
          <w:color w:val="000000"/>
        </w:rPr>
      </w:pPr>
      <w:r w:rsidRPr="004B56EC">
        <w:rPr>
          <w:rFonts w:eastAsiaTheme="minorEastAsia" w:hint="eastAsia"/>
          <w:color w:val="000000"/>
        </w:rPr>
        <w:t>三</w:t>
      </w:r>
      <w:r w:rsidR="00192BDF" w:rsidRPr="004B56EC">
        <w:rPr>
          <w:rFonts w:eastAsiaTheme="minorEastAsia" w:hint="eastAsia"/>
          <w:color w:val="000000"/>
        </w:rPr>
        <w:t>、</w:t>
      </w:r>
      <w:r w:rsidR="00192BDF" w:rsidRPr="009C7A52">
        <w:rPr>
          <w:rFonts w:eastAsiaTheme="minorEastAsia" w:hint="eastAsia"/>
          <w:b/>
          <w:bCs/>
          <w:color w:val="000000"/>
        </w:rPr>
        <w:t>特殊学术专长成绩</w:t>
      </w:r>
      <w:r w:rsidRPr="009C7A52">
        <w:rPr>
          <w:rFonts w:eastAsiaTheme="minorEastAsia" w:hint="eastAsia"/>
          <w:b/>
          <w:bCs/>
          <w:color w:val="000000"/>
        </w:rPr>
        <w:t>满分为</w:t>
      </w:r>
      <w:r w:rsidRPr="009C7A52">
        <w:rPr>
          <w:rFonts w:eastAsiaTheme="minorEastAsia" w:hint="eastAsia"/>
          <w:b/>
          <w:bCs/>
          <w:color w:val="000000"/>
        </w:rPr>
        <w:t>100</w:t>
      </w:r>
      <w:r w:rsidRPr="009C7A52">
        <w:rPr>
          <w:rFonts w:eastAsiaTheme="minorEastAsia" w:hint="eastAsia"/>
          <w:b/>
          <w:bCs/>
          <w:color w:val="000000"/>
        </w:rPr>
        <w:t>分</w:t>
      </w:r>
      <w:r w:rsidRPr="004B56EC">
        <w:rPr>
          <w:rFonts w:eastAsiaTheme="minorEastAsia" w:hint="eastAsia"/>
          <w:color w:val="000000"/>
        </w:rPr>
        <w:t>，</w:t>
      </w:r>
      <w:r w:rsidR="00192BDF" w:rsidRPr="004B56EC">
        <w:rPr>
          <w:rFonts w:eastAsiaTheme="minorEastAsia" w:hint="eastAsia"/>
          <w:color w:val="000000"/>
        </w:rPr>
        <w:t>由科研论文、发明专利、科研竞赛获奖三部分组成。</w:t>
      </w:r>
      <w:r>
        <w:rPr>
          <w:rFonts w:eastAsiaTheme="minorEastAsia" w:hint="eastAsia"/>
          <w:color w:val="000000"/>
        </w:rPr>
        <w:t>具体如下：</w:t>
      </w:r>
    </w:p>
    <w:p w14:paraId="10789DEF" w14:textId="77777777" w:rsidR="00192BDF" w:rsidRDefault="00192BDF" w:rsidP="00192BDF">
      <w:pPr>
        <w:pStyle w:val="2"/>
        <w:spacing w:line="360" w:lineRule="auto"/>
        <w:ind w:firstLineChars="200" w:firstLine="420"/>
        <w:rPr>
          <w:rFonts w:eastAsiaTheme="minorEastAsia"/>
          <w:color w:val="000000"/>
        </w:rPr>
      </w:pPr>
      <w:r>
        <w:rPr>
          <w:rFonts w:eastAsiaTheme="minorEastAsia"/>
          <w:color w:val="000000"/>
        </w:rPr>
        <w:t>1</w:t>
      </w:r>
      <w:r>
        <w:rPr>
          <w:rFonts w:eastAsiaTheme="minorEastAsia" w:hint="eastAsia"/>
          <w:color w:val="000000"/>
        </w:rPr>
        <w:t>、</w:t>
      </w:r>
      <w:r w:rsidRPr="00192BDF">
        <w:rPr>
          <w:rFonts w:eastAsiaTheme="minorEastAsia" w:hint="eastAsia"/>
          <w:color w:val="000000"/>
        </w:rPr>
        <w:t>在核心期刊及以上作为独立作者或第一作者发表与学业相关的科研论文，计</w:t>
      </w:r>
      <w:r w:rsidRPr="00192BDF">
        <w:rPr>
          <w:rFonts w:eastAsiaTheme="minorEastAsia" w:hint="eastAsia"/>
          <w:color w:val="000000"/>
        </w:rPr>
        <w:t>50</w:t>
      </w:r>
      <w:r w:rsidRPr="00192BDF">
        <w:rPr>
          <w:rFonts w:eastAsiaTheme="minorEastAsia" w:hint="eastAsia"/>
          <w:color w:val="000000"/>
        </w:rPr>
        <w:t>分。</w:t>
      </w:r>
    </w:p>
    <w:p w14:paraId="7E4F9F94" w14:textId="429CA9B0" w:rsidR="00192BDF" w:rsidRDefault="00192BDF" w:rsidP="00192BDF">
      <w:pPr>
        <w:pStyle w:val="2"/>
        <w:spacing w:line="360" w:lineRule="auto"/>
        <w:ind w:firstLineChars="200" w:firstLine="420"/>
        <w:rPr>
          <w:rFonts w:eastAsiaTheme="minorEastAsia"/>
          <w:color w:val="000000"/>
        </w:rPr>
      </w:pPr>
      <w:r>
        <w:rPr>
          <w:rFonts w:eastAsiaTheme="minorEastAsia"/>
          <w:color w:val="000000"/>
        </w:rPr>
        <w:lastRenderedPageBreak/>
        <w:t>2</w:t>
      </w:r>
      <w:r>
        <w:rPr>
          <w:rFonts w:eastAsiaTheme="minorEastAsia" w:hint="eastAsia"/>
          <w:color w:val="000000"/>
        </w:rPr>
        <w:t>、</w:t>
      </w:r>
      <w:r w:rsidRPr="00192BDF">
        <w:rPr>
          <w:rFonts w:eastAsiaTheme="minorEastAsia" w:hint="eastAsia"/>
          <w:color w:val="000000"/>
        </w:rPr>
        <w:t>独立或第一完成人获与学业相关的国际或国家发明专利（已授权），计</w:t>
      </w:r>
      <w:r w:rsidR="006F3BF2">
        <w:rPr>
          <w:rFonts w:eastAsiaTheme="minorEastAsia"/>
          <w:color w:val="000000"/>
        </w:rPr>
        <w:t>2</w:t>
      </w:r>
      <w:r w:rsidR="00FC3F24">
        <w:rPr>
          <w:rFonts w:eastAsiaTheme="minorEastAsia"/>
          <w:color w:val="000000"/>
        </w:rPr>
        <w:t>0</w:t>
      </w:r>
      <w:r w:rsidRPr="00192BDF">
        <w:rPr>
          <w:rFonts w:eastAsiaTheme="minorEastAsia" w:hint="eastAsia"/>
          <w:color w:val="000000"/>
        </w:rPr>
        <w:t>分。</w:t>
      </w:r>
    </w:p>
    <w:p w14:paraId="4FA9F517" w14:textId="30F18F66" w:rsidR="008E0F1F" w:rsidRDefault="00192BDF" w:rsidP="002A28F5">
      <w:pPr>
        <w:pStyle w:val="2"/>
        <w:spacing w:line="360" w:lineRule="auto"/>
        <w:ind w:firstLineChars="200" w:firstLine="420"/>
        <w:rPr>
          <w:rFonts w:eastAsiaTheme="minorEastAsia"/>
          <w:color w:val="000000"/>
        </w:rPr>
      </w:pPr>
      <w:r>
        <w:rPr>
          <w:rFonts w:eastAsiaTheme="minorEastAsia"/>
          <w:color w:val="000000"/>
        </w:rPr>
        <w:t>3</w:t>
      </w:r>
      <w:r>
        <w:rPr>
          <w:rFonts w:eastAsiaTheme="minorEastAsia" w:hint="eastAsia"/>
          <w:color w:val="000000"/>
        </w:rPr>
        <w:t>、</w:t>
      </w:r>
      <w:r w:rsidRPr="00192BDF">
        <w:rPr>
          <w:rFonts w:eastAsiaTheme="minorEastAsia" w:hint="eastAsia"/>
          <w:color w:val="000000"/>
        </w:rPr>
        <w:t>作为主力成员参加与学业相关的国内权威科研竞赛并获得三等奖以上奖励（国际赛事参照执行，但不得低于国内赛事相关要求），按照下列说明计分（非负责人每项减</w:t>
      </w:r>
      <w:r w:rsidR="00BC129C">
        <w:rPr>
          <w:rFonts w:eastAsiaTheme="minorEastAsia"/>
          <w:color w:val="000000"/>
        </w:rPr>
        <w:t>3</w:t>
      </w:r>
      <w:r w:rsidRPr="00192BDF">
        <w:rPr>
          <w:rFonts w:eastAsiaTheme="minorEastAsia" w:hint="eastAsia"/>
          <w:color w:val="000000"/>
        </w:rPr>
        <w:t>分）：</w:t>
      </w:r>
      <w:r w:rsidRPr="00192BDF">
        <w:rPr>
          <w:rFonts w:eastAsiaTheme="minorEastAsia" w:hint="eastAsia"/>
          <w:color w:val="000000"/>
        </w:rPr>
        <w:t>A</w:t>
      </w:r>
      <w:r w:rsidRPr="00192BDF">
        <w:rPr>
          <w:rFonts w:eastAsiaTheme="minorEastAsia" w:hint="eastAsia"/>
          <w:color w:val="000000"/>
        </w:rPr>
        <w:t>类一等奖</w:t>
      </w:r>
      <w:r w:rsidR="00FC3F24">
        <w:rPr>
          <w:rFonts w:eastAsiaTheme="minorEastAsia"/>
          <w:color w:val="000000"/>
        </w:rPr>
        <w:t>30</w:t>
      </w:r>
      <w:r w:rsidRPr="00192BDF">
        <w:rPr>
          <w:rFonts w:eastAsiaTheme="minorEastAsia" w:hint="eastAsia"/>
          <w:color w:val="000000"/>
        </w:rPr>
        <w:t>分，二等奖</w:t>
      </w:r>
      <w:r w:rsidR="00FC3F24">
        <w:rPr>
          <w:rFonts w:eastAsiaTheme="minorEastAsia"/>
          <w:color w:val="000000"/>
        </w:rPr>
        <w:t>25</w:t>
      </w:r>
      <w:r w:rsidRPr="00192BDF">
        <w:rPr>
          <w:rFonts w:eastAsiaTheme="minorEastAsia" w:hint="eastAsia"/>
          <w:color w:val="000000"/>
        </w:rPr>
        <w:t>分，三等奖</w:t>
      </w:r>
      <w:r w:rsidR="00FC3F24">
        <w:rPr>
          <w:rFonts w:eastAsiaTheme="minorEastAsia"/>
          <w:color w:val="000000"/>
        </w:rPr>
        <w:t>20</w:t>
      </w:r>
      <w:r w:rsidRPr="00192BDF">
        <w:rPr>
          <w:rFonts w:eastAsiaTheme="minorEastAsia" w:hint="eastAsia"/>
          <w:color w:val="000000"/>
        </w:rPr>
        <w:t>分；</w:t>
      </w:r>
      <w:r w:rsidRPr="00192BDF">
        <w:rPr>
          <w:rFonts w:eastAsiaTheme="minorEastAsia" w:hint="eastAsia"/>
          <w:color w:val="000000"/>
        </w:rPr>
        <w:t>B</w:t>
      </w:r>
      <w:r w:rsidRPr="00192BDF">
        <w:rPr>
          <w:rFonts w:eastAsiaTheme="minorEastAsia" w:hint="eastAsia"/>
          <w:color w:val="000000"/>
        </w:rPr>
        <w:t>类一等奖</w:t>
      </w:r>
      <w:r w:rsidR="00FC3F24">
        <w:rPr>
          <w:rFonts w:eastAsiaTheme="minorEastAsia"/>
          <w:color w:val="000000"/>
        </w:rPr>
        <w:t>20</w:t>
      </w:r>
      <w:r w:rsidRPr="00192BDF">
        <w:rPr>
          <w:rFonts w:eastAsiaTheme="minorEastAsia" w:hint="eastAsia"/>
          <w:color w:val="000000"/>
        </w:rPr>
        <w:t>分，二等奖</w:t>
      </w:r>
      <w:r w:rsidR="00FC3F24">
        <w:rPr>
          <w:rFonts w:eastAsiaTheme="minorEastAsia"/>
          <w:color w:val="000000"/>
        </w:rPr>
        <w:t>15</w:t>
      </w:r>
      <w:r w:rsidRPr="00192BDF">
        <w:rPr>
          <w:rFonts w:eastAsiaTheme="minorEastAsia" w:hint="eastAsia"/>
          <w:color w:val="000000"/>
        </w:rPr>
        <w:t>分，三等奖</w:t>
      </w:r>
      <w:r w:rsidR="00FC3F24">
        <w:rPr>
          <w:rFonts w:eastAsiaTheme="minorEastAsia"/>
          <w:color w:val="000000"/>
        </w:rPr>
        <w:t>10</w:t>
      </w:r>
      <w:r w:rsidRPr="00192BDF">
        <w:rPr>
          <w:rFonts w:eastAsiaTheme="minorEastAsia" w:hint="eastAsia"/>
          <w:color w:val="000000"/>
        </w:rPr>
        <w:t>分；</w:t>
      </w:r>
      <w:r w:rsidRPr="00192BDF">
        <w:rPr>
          <w:rFonts w:eastAsiaTheme="minorEastAsia" w:hint="eastAsia"/>
          <w:color w:val="000000"/>
        </w:rPr>
        <w:t>C</w:t>
      </w:r>
      <w:r w:rsidRPr="00192BDF">
        <w:rPr>
          <w:rFonts w:eastAsiaTheme="minorEastAsia" w:hint="eastAsia"/>
          <w:color w:val="000000"/>
        </w:rPr>
        <w:t>类</w:t>
      </w:r>
      <w:r w:rsidR="00497076" w:rsidRPr="00192BDF">
        <w:rPr>
          <w:rFonts w:eastAsiaTheme="minorEastAsia" w:hint="eastAsia"/>
          <w:color w:val="000000"/>
        </w:rPr>
        <w:t>一等奖</w:t>
      </w:r>
      <w:r w:rsidRPr="00192BDF">
        <w:rPr>
          <w:rFonts w:eastAsiaTheme="minorEastAsia" w:hint="eastAsia"/>
          <w:color w:val="000000"/>
        </w:rPr>
        <w:t>计</w:t>
      </w:r>
      <w:r w:rsidR="00FC3F24">
        <w:rPr>
          <w:rFonts w:eastAsiaTheme="minorEastAsia"/>
          <w:color w:val="000000"/>
        </w:rPr>
        <w:t>10</w:t>
      </w:r>
      <w:r w:rsidRPr="00192BDF">
        <w:rPr>
          <w:rFonts w:eastAsiaTheme="minorEastAsia" w:hint="eastAsia"/>
          <w:color w:val="000000"/>
        </w:rPr>
        <w:t>分</w:t>
      </w:r>
      <w:r w:rsidR="00497076">
        <w:rPr>
          <w:rFonts w:eastAsiaTheme="minorEastAsia" w:hint="eastAsia"/>
          <w:color w:val="000000"/>
        </w:rPr>
        <w:t>，二等奖和三等奖计</w:t>
      </w:r>
      <w:r w:rsidR="00497076">
        <w:rPr>
          <w:rFonts w:eastAsiaTheme="minorEastAsia" w:hint="eastAsia"/>
          <w:color w:val="000000"/>
        </w:rPr>
        <w:t>5</w:t>
      </w:r>
      <w:r w:rsidR="00497076">
        <w:rPr>
          <w:rFonts w:eastAsiaTheme="minorEastAsia" w:hint="eastAsia"/>
          <w:color w:val="000000"/>
        </w:rPr>
        <w:t>分</w:t>
      </w:r>
      <w:r w:rsidRPr="00192BDF">
        <w:rPr>
          <w:rFonts w:eastAsiaTheme="minorEastAsia" w:hint="eastAsia"/>
          <w:color w:val="000000"/>
        </w:rPr>
        <w:t>。</w:t>
      </w:r>
      <w:r w:rsidR="002A28F5" w:rsidRPr="002A28F5">
        <w:rPr>
          <w:rFonts w:eastAsiaTheme="minorEastAsia" w:hint="eastAsia"/>
          <w:color w:val="000000"/>
        </w:rPr>
        <w:t>竞赛名录详见附件，非目录内的竞赛不计分。学生与直系亲属或学历、职称、职务明显高于本人者合作的科研成果、竞赛奖项等仅作为参考，不纳入学生本人推免遴选综合评价成绩计算体系，同等条件下优先考虑。</w:t>
      </w:r>
    </w:p>
    <w:p w14:paraId="3E171991" w14:textId="173C9D87" w:rsidR="00BF5AA9" w:rsidRDefault="00BF5AA9" w:rsidP="002A28F5">
      <w:pPr>
        <w:pStyle w:val="2"/>
        <w:spacing w:line="360" w:lineRule="auto"/>
        <w:ind w:firstLineChars="200" w:firstLine="420"/>
        <w:rPr>
          <w:rFonts w:eastAsiaTheme="minorEastAsia"/>
          <w:color w:val="000000"/>
        </w:rPr>
      </w:pPr>
    </w:p>
    <w:p w14:paraId="475F801F" w14:textId="77777777" w:rsidR="00BF5AA9" w:rsidRPr="00BF5AA9" w:rsidRDefault="00BF5AA9" w:rsidP="00BF5AA9">
      <w:pPr>
        <w:pStyle w:val="2"/>
        <w:spacing w:line="360" w:lineRule="auto"/>
        <w:ind w:firstLineChars="200" w:firstLine="420"/>
        <w:jc w:val="right"/>
        <w:rPr>
          <w:color w:val="000000"/>
        </w:rPr>
      </w:pPr>
      <w:r w:rsidRPr="00BF5AA9">
        <w:rPr>
          <w:rFonts w:hint="eastAsia"/>
          <w:color w:val="000000"/>
        </w:rPr>
        <w:t>上海师范大学环境与地理科学学院</w:t>
      </w:r>
    </w:p>
    <w:p w14:paraId="0B741352" w14:textId="35C2FB81" w:rsidR="00BF5AA9" w:rsidRPr="00192BDF" w:rsidRDefault="00BF5AA9" w:rsidP="00BF5AA9">
      <w:pPr>
        <w:pStyle w:val="2"/>
        <w:spacing w:line="360" w:lineRule="auto"/>
        <w:ind w:firstLineChars="200" w:firstLine="420"/>
        <w:jc w:val="right"/>
        <w:rPr>
          <w:color w:val="000000"/>
        </w:rPr>
      </w:pPr>
      <w:r w:rsidRPr="00BF5AA9">
        <w:rPr>
          <w:color w:val="000000"/>
        </w:rPr>
        <w:t>2020.09.25</w:t>
      </w:r>
    </w:p>
    <w:sectPr w:rsidR="00BF5AA9" w:rsidRPr="00192BDF" w:rsidSect="00DF2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8E584" w14:textId="77777777" w:rsidR="007F3361" w:rsidRDefault="007F3361" w:rsidP="00B55DE8">
      <w:r>
        <w:separator/>
      </w:r>
    </w:p>
  </w:endnote>
  <w:endnote w:type="continuationSeparator" w:id="0">
    <w:p w14:paraId="7D4D7E29" w14:textId="77777777" w:rsidR="007F3361" w:rsidRDefault="007F3361" w:rsidP="00B5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B42ED" w14:textId="77777777" w:rsidR="007F3361" w:rsidRDefault="007F3361" w:rsidP="00B55DE8">
      <w:r>
        <w:separator/>
      </w:r>
    </w:p>
  </w:footnote>
  <w:footnote w:type="continuationSeparator" w:id="0">
    <w:p w14:paraId="7631026F" w14:textId="77777777" w:rsidR="007F3361" w:rsidRDefault="007F3361" w:rsidP="00B55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56E4"/>
    <w:rsid w:val="00070416"/>
    <w:rsid w:val="000D0E9A"/>
    <w:rsid w:val="00192BDF"/>
    <w:rsid w:val="001B11CE"/>
    <w:rsid w:val="001C0E7D"/>
    <w:rsid w:val="00236AEA"/>
    <w:rsid w:val="00265D6E"/>
    <w:rsid w:val="002A28F5"/>
    <w:rsid w:val="002D556C"/>
    <w:rsid w:val="00310C2F"/>
    <w:rsid w:val="00407F5F"/>
    <w:rsid w:val="00426E97"/>
    <w:rsid w:val="00472272"/>
    <w:rsid w:val="00475BCB"/>
    <w:rsid w:val="004965DA"/>
    <w:rsid w:val="00497076"/>
    <w:rsid w:val="004B225B"/>
    <w:rsid w:val="004B54AB"/>
    <w:rsid w:val="004B56EC"/>
    <w:rsid w:val="004E2478"/>
    <w:rsid w:val="004F56E4"/>
    <w:rsid w:val="0054203F"/>
    <w:rsid w:val="005A6A33"/>
    <w:rsid w:val="005F15C8"/>
    <w:rsid w:val="005F2255"/>
    <w:rsid w:val="00670D6B"/>
    <w:rsid w:val="006F3BF2"/>
    <w:rsid w:val="00707F08"/>
    <w:rsid w:val="00710FF3"/>
    <w:rsid w:val="00727B6D"/>
    <w:rsid w:val="00741A95"/>
    <w:rsid w:val="00755DE6"/>
    <w:rsid w:val="007C02F1"/>
    <w:rsid w:val="007F3361"/>
    <w:rsid w:val="00853D1B"/>
    <w:rsid w:val="00862215"/>
    <w:rsid w:val="00871976"/>
    <w:rsid w:val="008959F1"/>
    <w:rsid w:val="008D47BE"/>
    <w:rsid w:val="008E0F1F"/>
    <w:rsid w:val="008F5878"/>
    <w:rsid w:val="00920755"/>
    <w:rsid w:val="009320AD"/>
    <w:rsid w:val="00953B04"/>
    <w:rsid w:val="00983117"/>
    <w:rsid w:val="0099113D"/>
    <w:rsid w:val="009B324F"/>
    <w:rsid w:val="009C7A52"/>
    <w:rsid w:val="009D2AE0"/>
    <w:rsid w:val="009E2242"/>
    <w:rsid w:val="00A445DB"/>
    <w:rsid w:val="00A86D4F"/>
    <w:rsid w:val="00AC180C"/>
    <w:rsid w:val="00B55DE8"/>
    <w:rsid w:val="00B95AF7"/>
    <w:rsid w:val="00BA4D4F"/>
    <w:rsid w:val="00BC129C"/>
    <w:rsid w:val="00BF5AA9"/>
    <w:rsid w:val="00C06A74"/>
    <w:rsid w:val="00C130B0"/>
    <w:rsid w:val="00C26BA8"/>
    <w:rsid w:val="00C76068"/>
    <w:rsid w:val="00C95BC0"/>
    <w:rsid w:val="00CC0D35"/>
    <w:rsid w:val="00CC326D"/>
    <w:rsid w:val="00CD366F"/>
    <w:rsid w:val="00CF4C6C"/>
    <w:rsid w:val="00D47C86"/>
    <w:rsid w:val="00D84AC1"/>
    <w:rsid w:val="00DB3067"/>
    <w:rsid w:val="00DF25A1"/>
    <w:rsid w:val="00E05FE6"/>
    <w:rsid w:val="00E54C83"/>
    <w:rsid w:val="00E61294"/>
    <w:rsid w:val="00E81440"/>
    <w:rsid w:val="00EB6F42"/>
    <w:rsid w:val="00FC3F24"/>
    <w:rsid w:val="00FE0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E79A9"/>
  <w15:docId w15:val="{F9DE4F3D-09D1-4946-AE1F-EFE6956F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56E4"/>
    <w:pPr>
      <w:widowControl w:val="0"/>
      <w:autoSpaceDE w:val="0"/>
      <w:autoSpaceDN w:val="0"/>
      <w:adjustRightInd w:val="0"/>
    </w:pPr>
    <w:rPr>
      <w:rFonts w:ascii="宋体" w:eastAsia="宋体" w:hAnsi="Calibri" w:cs="宋体"/>
      <w:color w:val="000000"/>
      <w:kern w:val="0"/>
      <w:sz w:val="24"/>
      <w:szCs w:val="24"/>
    </w:rPr>
  </w:style>
  <w:style w:type="paragraph" w:customStyle="1" w:styleId="CM1">
    <w:name w:val="CM1"/>
    <w:basedOn w:val="Default"/>
    <w:next w:val="Default"/>
    <w:uiPriority w:val="99"/>
    <w:rsid w:val="004F56E4"/>
    <w:pPr>
      <w:spacing w:line="480" w:lineRule="atLeast"/>
    </w:pPr>
    <w:rPr>
      <w:rFonts w:cs="Times New Roman"/>
      <w:color w:val="auto"/>
    </w:rPr>
  </w:style>
  <w:style w:type="paragraph" w:styleId="2">
    <w:name w:val="Body Text Indent 2"/>
    <w:basedOn w:val="a"/>
    <w:link w:val="20"/>
    <w:rsid w:val="004F56E4"/>
    <w:pPr>
      <w:ind w:firstLine="480"/>
    </w:pPr>
    <w:rPr>
      <w:rFonts w:ascii="Times New Roman" w:eastAsia="宋体" w:hAnsi="Times New Roman" w:cs="Times New Roman"/>
      <w:szCs w:val="20"/>
    </w:rPr>
  </w:style>
  <w:style w:type="character" w:customStyle="1" w:styleId="20">
    <w:name w:val="正文文本缩进 2 字符"/>
    <w:basedOn w:val="a0"/>
    <w:link w:val="2"/>
    <w:rsid w:val="004F56E4"/>
    <w:rPr>
      <w:rFonts w:ascii="Times New Roman" w:eastAsia="宋体" w:hAnsi="Times New Roman" w:cs="Times New Roman"/>
      <w:szCs w:val="20"/>
    </w:rPr>
  </w:style>
  <w:style w:type="paragraph" w:styleId="a3">
    <w:name w:val="header"/>
    <w:basedOn w:val="a"/>
    <w:link w:val="a4"/>
    <w:uiPriority w:val="99"/>
    <w:unhideWhenUsed/>
    <w:rsid w:val="00B55D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5DE8"/>
    <w:rPr>
      <w:sz w:val="18"/>
      <w:szCs w:val="18"/>
    </w:rPr>
  </w:style>
  <w:style w:type="paragraph" w:styleId="a5">
    <w:name w:val="footer"/>
    <w:basedOn w:val="a"/>
    <w:link w:val="a6"/>
    <w:uiPriority w:val="99"/>
    <w:unhideWhenUsed/>
    <w:rsid w:val="00B55DE8"/>
    <w:pPr>
      <w:tabs>
        <w:tab w:val="center" w:pos="4153"/>
        <w:tab w:val="right" w:pos="8306"/>
      </w:tabs>
      <w:snapToGrid w:val="0"/>
      <w:jc w:val="left"/>
    </w:pPr>
    <w:rPr>
      <w:sz w:val="18"/>
      <w:szCs w:val="18"/>
    </w:rPr>
  </w:style>
  <w:style w:type="character" w:customStyle="1" w:styleId="a6">
    <w:name w:val="页脚 字符"/>
    <w:basedOn w:val="a0"/>
    <w:link w:val="a5"/>
    <w:uiPriority w:val="99"/>
    <w:rsid w:val="00B55D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171</Words>
  <Characters>977</Characters>
  <Application>Microsoft Office Word</Application>
  <DocSecurity>0</DocSecurity>
  <Lines>8</Lines>
  <Paragraphs>2</Paragraphs>
  <ScaleCrop>false</ScaleCrop>
  <Company>上海市虹口教育局</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附件4.推免研究生综合成绩评分细则-环地</dc:title>
  <dc:subject/>
  <dc:creator>chen</dc:creator>
  <cp:keywords/>
  <dc:description/>
  <cp:lastModifiedBy>chenfu</cp:lastModifiedBy>
  <cp:revision>10</cp:revision>
  <dcterms:created xsi:type="dcterms:W3CDTF">2020-09-26T06:08:00Z</dcterms:created>
  <dcterms:modified xsi:type="dcterms:W3CDTF">2020-09-26T10:42:00Z</dcterms:modified>
</cp:coreProperties>
</file>